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21" w:rsidRPr="00537A21" w:rsidRDefault="00537A21" w:rsidP="00537A21">
      <w:pPr>
        <w:keepNext/>
        <w:keepLines/>
        <w:spacing w:before="480" w:after="60"/>
        <w:outlineLvl w:val="0"/>
        <w:rPr>
          <w:rFonts w:ascii="Arial" w:hAnsi="Arial" w:cs="Arial"/>
          <w:b/>
          <w:bCs/>
          <w:sz w:val="32"/>
          <w:szCs w:val="32"/>
        </w:rPr>
      </w:pPr>
      <w:bookmarkStart w:id="0" w:name="_Toc421860575"/>
      <w:bookmarkStart w:id="1" w:name="_Toc422307513"/>
      <w:r w:rsidRPr="00537A21">
        <w:rPr>
          <w:rFonts w:ascii="Arial" w:hAnsi="Arial" w:cs="Arial"/>
          <w:b/>
          <w:bCs/>
          <w:sz w:val="32"/>
          <w:szCs w:val="32"/>
        </w:rPr>
        <w:t>05H</w:t>
      </w:r>
      <w:bookmarkStart w:id="2" w:name="_Toc421803753"/>
      <w:r w:rsidRPr="00537A21">
        <w:rPr>
          <w:rFonts w:ascii="Arial" w:hAnsi="Arial" w:cs="Arial"/>
          <w:b/>
          <w:bCs/>
          <w:sz w:val="32"/>
          <w:szCs w:val="32"/>
        </w:rPr>
        <w:t xml:space="preserve"> Årsregnskab 2014 – Endeligt regnskab med revisionsprotokollat</w:t>
      </w:r>
      <w:bookmarkEnd w:id="0"/>
      <w:bookmarkEnd w:id="1"/>
      <w:bookmarkEnd w:id="2"/>
      <w:r w:rsidRPr="00537A21">
        <w:rPr>
          <w:rFonts w:ascii="Arial" w:hAnsi="Arial" w:cs="Arial"/>
          <w:b/>
          <w:bCs/>
          <w:sz w:val="32"/>
          <w:szCs w:val="32"/>
        </w:rPr>
        <w:t xml:space="preserve"> </w:t>
      </w: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Årsregnskab 2014</w:t>
      </w:r>
    </w:p>
    <w:p w:rsidR="00537A21" w:rsidRPr="00537A21" w:rsidRDefault="00537A21" w:rsidP="00537A21">
      <w:pPr>
        <w:autoSpaceDE w:val="0"/>
        <w:autoSpaceDN w:val="0"/>
        <w:adjustRightInd w:val="0"/>
        <w:rPr>
          <w:rFonts w:ascii="Arial" w:hAnsi="Arial" w:cs="Arial"/>
          <w:color w:val="000000"/>
          <w:sz w:val="22"/>
          <w:szCs w:val="22"/>
        </w:rPr>
      </w:pP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 xml:space="preserve">Til beslutning </w:t>
      </w: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 xml:space="preserve">J.nr.: 06.06.03. </w:t>
      </w: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 xml:space="preserve">Økonomi og Personaleservice – direktør Lars Møller-Sørensen / LMSR </w:t>
      </w:r>
    </w:p>
    <w:p w:rsidR="00537A21" w:rsidRPr="00537A21" w:rsidRDefault="00537A21" w:rsidP="00537A21">
      <w:pPr>
        <w:autoSpaceDE w:val="0"/>
        <w:autoSpaceDN w:val="0"/>
        <w:adjustRightInd w:val="0"/>
        <w:rPr>
          <w:rFonts w:ascii="Arial" w:hAnsi="Arial" w:cs="Arial"/>
          <w:b/>
          <w:bCs/>
          <w:color w:val="000000"/>
          <w:sz w:val="22"/>
          <w:szCs w:val="22"/>
        </w:rPr>
      </w:pPr>
    </w:p>
    <w:p w:rsidR="00537A21" w:rsidRPr="00537A21" w:rsidRDefault="00537A21" w:rsidP="00537A21">
      <w:pPr>
        <w:autoSpaceDE w:val="0"/>
        <w:autoSpaceDN w:val="0"/>
        <w:adjustRightInd w:val="0"/>
        <w:rPr>
          <w:rFonts w:ascii="Arial" w:hAnsi="Arial" w:cs="Arial"/>
          <w:color w:val="000000"/>
          <w:sz w:val="22"/>
          <w:szCs w:val="22"/>
        </w:rPr>
      </w:pPr>
      <w:proofErr w:type="spellStart"/>
      <w:r w:rsidRPr="00537A21">
        <w:rPr>
          <w:rFonts w:ascii="Arial" w:hAnsi="Arial" w:cs="Arial"/>
          <w:b/>
          <w:bCs/>
          <w:color w:val="000000"/>
          <w:sz w:val="22"/>
          <w:szCs w:val="22"/>
        </w:rPr>
        <w:t>Sagsresumé</w:t>
      </w:r>
      <w:proofErr w:type="spellEnd"/>
      <w:r w:rsidRPr="00537A21">
        <w:rPr>
          <w:rFonts w:ascii="Arial" w:hAnsi="Arial" w:cs="Arial"/>
          <w:b/>
          <w:bCs/>
          <w:color w:val="000000"/>
          <w:sz w:val="22"/>
          <w:szCs w:val="22"/>
        </w:rPr>
        <w:t xml:space="preserve"> </w:t>
      </w: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 xml:space="preserve">Kommunalbestyrelsen behandlede på møde den 28. april 2015 årsregnskabet for 2014 og godkendte </w:t>
      </w:r>
      <w:r w:rsidRPr="00537A21">
        <w:rPr>
          <w:rFonts w:ascii="Arial" w:hAnsi="Arial" w:cs="Arial"/>
          <w:sz w:val="22"/>
          <w:szCs w:val="22"/>
        </w:rPr>
        <w:t>dette oversendt</w:t>
      </w:r>
      <w:r w:rsidRPr="00537A21">
        <w:rPr>
          <w:rFonts w:ascii="Arial" w:hAnsi="Arial" w:cs="Arial"/>
          <w:color w:val="000000"/>
          <w:sz w:val="22"/>
          <w:szCs w:val="22"/>
        </w:rPr>
        <w:t xml:space="preserve"> til revisionen. Den afsluttende revision blev udført efterfølgende, og den 18. maj 2015 forelå revisionsrapporten. Forvaltningen har efterfølgende udarbejdet et svarnotat til revisionsprotokollatet.</w:t>
      </w: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 xml:space="preserve"> </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 xml:space="preserve">Revisionsprotokol og besvarelse heraf oversendes til Økonomiudvalgets og Kommunalbestyrelsens behandling. </w:t>
      </w:r>
    </w:p>
    <w:p w:rsidR="00537A21" w:rsidRPr="00537A21" w:rsidRDefault="00537A21" w:rsidP="00537A21">
      <w:pPr>
        <w:autoSpaceDE w:val="0"/>
        <w:autoSpaceDN w:val="0"/>
        <w:adjustRightInd w:val="0"/>
        <w:rPr>
          <w:rFonts w:ascii="Arial" w:hAnsi="Arial" w:cs="Arial"/>
          <w:b/>
          <w:bCs/>
          <w:color w:val="FF0000"/>
          <w:sz w:val="22"/>
          <w:szCs w:val="22"/>
        </w:rPr>
      </w:pPr>
    </w:p>
    <w:p w:rsidR="00537A21" w:rsidRPr="00537A21" w:rsidRDefault="00537A21" w:rsidP="00537A21">
      <w:pPr>
        <w:autoSpaceDE w:val="0"/>
        <w:autoSpaceDN w:val="0"/>
        <w:adjustRightInd w:val="0"/>
        <w:rPr>
          <w:rFonts w:ascii="Arial" w:hAnsi="Arial" w:cs="Arial"/>
          <w:b/>
          <w:bCs/>
          <w:color w:val="000000"/>
          <w:sz w:val="22"/>
          <w:szCs w:val="22"/>
        </w:rPr>
      </w:pPr>
      <w:r w:rsidRPr="00537A21">
        <w:rPr>
          <w:rFonts w:ascii="Arial" w:hAnsi="Arial" w:cs="Arial"/>
          <w:b/>
          <w:bCs/>
          <w:color w:val="000000"/>
          <w:sz w:val="22"/>
          <w:szCs w:val="22"/>
        </w:rPr>
        <w:t xml:space="preserve">Indstilling </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bCs/>
          <w:sz w:val="22"/>
          <w:szCs w:val="22"/>
        </w:rPr>
        <w:t>Økonomiudvalget indstiller overfor Kommunalbestyrelsen:</w:t>
      </w:r>
    </w:p>
    <w:p w:rsidR="00537A21" w:rsidRPr="00537A21" w:rsidRDefault="00537A21" w:rsidP="00537A21">
      <w:pPr>
        <w:numPr>
          <w:ilvl w:val="0"/>
          <w:numId w:val="1"/>
        </w:numPr>
        <w:autoSpaceDE w:val="0"/>
        <w:autoSpaceDN w:val="0"/>
        <w:adjustRightInd w:val="0"/>
        <w:rPr>
          <w:rFonts w:ascii="Arial" w:hAnsi="Arial" w:cs="Arial"/>
          <w:sz w:val="22"/>
          <w:szCs w:val="22"/>
        </w:rPr>
      </w:pPr>
      <w:r w:rsidRPr="00537A21">
        <w:rPr>
          <w:rFonts w:ascii="Arial" w:hAnsi="Arial" w:cs="Arial"/>
          <w:sz w:val="22"/>
          <w:szCs w:val="22"/>
        </w:rPr>
        <w:t>at årsregnskabet for 2014 godkendes endeligt</w:t>
      </w:r>
    </w:p>
    <w:p w:rsidR="00537A21" w:rsidRPr="00537A21" w:rsidRDefault="00537A21" w:rsidP="00537A21">
      <w:pPr>
        <w:numPr>
          <w:ilvl w:val="0"/>
          <w:numId w:val="1"/>
        </w:numPr>
        <w:autoSpaceDE w:val="0"/>
        <w:autoSpaceDN w:val="0"/>
        <w:adjustRightInd w:val="0"/>
        <w:rPr>
          <w:rFonts w:ascii="Arial" w:hAnsi="Arial" w:cs="Arial"/>
          <w:sz w:val="22"/>
          <w:szCs w:val="22"/>
        </w:rPr>
      </w:pPr>
      <w:r w:rsidRPr="00537A21">
        <w:rPr>
          <w:rFonts w:ascii="Arial" w:hAnsi="Arial" w:cs="Arial"/>
          <w:sz w:val="22"/>
          <w:szCs w:val="22"/>
        </w:rPr>
        <w:t>at revisionsberetningerne tages til efterretning</w:t>
      </w:r>
    </w:p>
    <w:p w:rsidR="00537A21" w:rsidRPr="00537A21" w:rsidRDefault="00537A21" w:rsidP="00537A21">
      <w:pPr>
        <w:numPr>
          <w:ilvl w:val="0"/>
          <w:numId w:val="1"/>
        </w:numPr>
        <w:autoSpaceDE w:val="0"/>
        <w:autoSpaceDN w:val="0"/>
        <w:adjustRightInd w:val="0"/>
        <w:rPr>
          <w:rFonts w:ascii="Arial" w:hAnsi="Arial" w:cs="Arial"/>
          <w:sz w:val="22"/>
          <w:szCs w:val="22"/>
        </w:rPr>
      </w:pPr>
      <w:r w:rsidRPr="00537A21">
        <w:rPr>
          <w:rFonts w:ascii="Arial" w:hAnsi="Arial" w:cs="Arial"/>
          <w:sz w:val="22"/>
          <w:szCs w:val="22"/>
        </w:rPr>
        <w:t>at svarnotatet tages til efterretning</w:t>
      </w:r>
    </w:p>
    <w:p w:rsidR="00537A21" w:rsidRPr="00537A21" w:rsidRDefault="00537A21" w:rsidP="00537A21">
      <w:pPr>
        <w:autoSpaceDE w:val="0"/>
        <w:autoSpaceDN w:val="0"/>
        <w:adjustRightInd w:val="0"/>
        <w:rPr>
          <w:rFonts w:ascii="Arial" w:hAnsi="Arial" w:cs="Arial"/>
          <w:color w:val="000000"/>
          <w:sz w:val="22"/>
          <w:szCs w:val="22"/>
        </w:rPr>
      </w:pPr>
    </w:p>
    <w:p w:rsidR="00537A21" w:rsidRPr="00537A21" w:rsidRDefault="00537A21" w:rsidP="00537A21">
      <w:pPr>
        <w:contextualSpacing/>
        <w:rPr>
          <w:rFonts w:ascii="Arial" w:hAnsi="Arial" w:cs="Arial"/>
          <w:b/>
          <w:color w:val="FF0000"/>
          <w:sz w:val="22"/>
          <w:szCs w:val="22"/>
        </w:rPr>
      </w:pPr>
      <w:r w:rsidRPr="00537A21">
        <w:rPr>
          <w:rFonts w:ascii="Arial" w:hAnsi="Arial" w:cs="Arial"/>
          <w:b/>
          <w:color w:val="FF0000"/>
          <w:sz w:val="22"/>
          <w:szCs w:val="22"/>
        </w:rPr>
        <w:t>Beslutning</w:t>
      </w:r>
    </w:p>
    <w:p w:rsidR="00537A21" w:rsidRPr="00537A21" w:rsidRDefault="00537A21" w:rsidP="00537A21">
      <w:pPr>
        <w:contextualSpacing/>
        <w:rPr>
          <w:rFonts w:ascii="Arial" w:hAnsi="Arial" w:cs="Arial"/>
          <w:i/>
          <w:color w:val="FF0000"/>
          <w:sz w:val="22"/>
          <w:szCs w:val="22"/>
        </w:rPr>
      </w:pPr>
      <w:r w:rsidRPr="00537A21">
        <w:rPr>
          <w:rFonts w:ascii="Arial" w:hAnsi="Arial" w:cs="Arial"/>
          <w:i/>
          <w:color w:val="FF0000"/>
          <w:sz w:val="22"/>
          <w:szCs w:val="22"/>
        </w:rPr>
        <w:t>Kommunalbestyrelsens beslutning den 16. juni 2015:</w:t>
      </w:r>
    </w:p>
    <w:p w:rsidR="00537A21" w:rsidRPr="00537A21" w:rsidRDefault="00537A21" w:rsidP="00537A21">
      <w:pPr>
        <w:contextualSpacing/>
        <w:rPr>
          <w:rFonts w:ascii="Arial" w:hAnsi="Arial" w:cs="Arial"/>
          <w:color w:val="FF0000"/>
          <w:sz w:val="22"/>
          <w:szCs w:val="22"/>
        </w:rPr>
      </w:pPr>
      <w:r w:rsidRPr="00537A21">
        <w:rPr>
          <w:rFonts w:ascii="Arial" w:hAnsi="Arial" w:cs="Arial"/>
          <w:color w:val="FF0000"/>
          <w:sz w:val="22"/>
          <w:szCs w:val="22"/>
        </w:rPr>
        <w:t>Kommunalbestyrelsen godkender indstillingerne.</w:t>
      </w:r>
    </w:p>
    <w:p w:rsidR="00537A21" w:rsidRPr="00537A21" w:rsidRDefault="00537A21" w:rsidP="00537A21">
      <w:pPr>
        <w:autoSpaceDE w:val="0"/>
        <w:autoSpaceDN w:val="0"/>
        <w:adjustRightInd w:val="0"/>
        <w:rPr>
          <w:rFonts w:ascii="Arial" w:hAnsi="Arial" w:cs="Arial"/>
          <w:b/>
          <w:bCs/>
          <w:color w:val="000000"/>
          <w:sz w:val="22"/>
          <w:szCs w:val="22"/>
        </w:rPr>
      </w:pP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b/>
          <w:bCs/>
          <w:color w:val="000000"/>
          <w:sz w:val="22"/>
          <w:szCs w:val="22"/>
        </w:rPr>
        <w:t xml:space="preserve">Sagsfremstilling </w:t>
      </w: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Efter Kommunalbestyrelsens godkendelse af årsregnskabet for 2014 den 28. april 2015 regnskabet overgivet til revision. Kommunens revisor Deloitte har på baggrund af den udførte revision afgivet revisionsberetning dels for det kommunale regnskab dels for selvstyrebalancen.</w:t>
      </w:r>
    </w:p>
    <w:p w:rsidR="00537A21" w:rsidRPr="00537A21" w:rsidRDefault="00537A21" w:rsidP="00537A21">
      <w:pPr>
        <w:autoSpaceDE w:val="0"/>
        <w:autoSpaceDN w:val="0"/>
        <w:adjustRightInd w:val="0"/>
        <w:rPr>
          <w:rFonts w:ascii="Arial" w:hAnsi="Arial" w:cs="Arial"/>
          <w:color w:val="000000"/>
          <w:sz w:val="22"/>
          <w:szCs w:val="22"/>
        </w:rPr>
      </w:pP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Vigtigt er det at påpege, at revisionspåtegningen er blank – hvilket vil sige, at den er afgivet uden forbehold.</w:t>
      </w:r>
    </w:p>
    <w:p w:rsidR="00537A21" w:rsidRPr="00537A21" w:rsidRDefault="00537A21" w:rsidP="00537A21">
      <w:pPr>
        <w:autoSpaceDE w:val="0"/>
        <w:autoSpaceDN w:val="0"/>
        <w:adjustRightInd w:val="0"/>
        <w:rPr>
          <w:rFonts w:ascii="Arial" w:hAnsi="Arial" w:cs="Arial"/>
          <w:color w:val="000000"/>
          <w:sz w:val="22"/>
          <w:szCs w:val="22"/>
        </w:rPr>
      </w:pP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I lighed med sidste år er der dog en supplerende oplysning vedr. andre forhold i påtegningen.</w:t>
      </w:r>
    </w:p>
    <w:p w:rsidR="00537A21" w:rsidRPr="00537A21" w:rsidRDefault="00537A21" w:rsidP="00537A21">
      <w:pPr>
        <w:autoSpaceDE w:val="0"/>
        <w:autoSpaceDN w:val="0"/>
        <w:adjustRightInd w:val="0"/>
        <w:rPr>
          <w:rFonts w:ascii="Arial" w:hAnsi="Arial" w:cs="Arial"/>
          <w:color w:val="000000"/>
          <w:sz w:val="22"/>
          <w:szCs w:val="22"/>
        </w:rPr>
      </w:pP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Der er i revisionsberetningerne en række revisionsbemærkninger, disse gengives herunder:</w:t>
      </w:r>
    </w:p>
    <w:tbl>
      <w:tblPr>
        <w:tblW w:w="0" w:type="auto"/>
        <w:tblCellMar>
          <w:left w:w="0" w:type="dxa"/>
          <w:right w:w="0" w:type="dxa"/>
        </w:tblCellMar>
        <w:tblLook w:val="04A0" w:firstRow="1" w:lastRow="0" w:firstColumn="1" w:lastColumn="0" w:noHBand="0" w:noVBand="1"/>
      </w:tblPr>
      <w:tblGrid>
        <w:gridCol w:w="919"/>
        <w:gridCol w:w="6531"/>
        <w:gridCol w:w="1406"/>
      </w:tblGrid>
      <w:tr w:rsidR="00537A21" w:rsidRPr="00537A21" w:rsidTr="009219D7">
        <w:tc>
          <w:tcPr>
            <w:tcW w:w="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b/>
                <w:bCs/>
                <w:sz w:val="22"/>
              </w:rPr>
            </w:pPr>
            <w:r w:rsidRPr="00537A21">
              <w:rPr>
                <w:b/>
                <w:bCs/>
              </w:rPr>
              <w:t>Nr.</w:t>
            </w:r>
          </w:p>
        </w:tc>
        <w:tc>
          <w:tcPr>
            <w:tcW w:w="6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b/>
                <w:bCs/>
                <w:sz w:val="22"/>
              </w:rPr>
            </w:pPr>
            <w:r w:rsidRPr="00537A21">
              <w:rPr>
                <w:b/>
                <w:bCs/>
              </w:rPr>
              <w:t>Revisionsbemærkning</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b/>
                <w:bCs/>
                <w:sz w:val="22"/>
              </w:rPr>
            </w:pPr>
            <w:r w:rsidRPr="00537A21">
              <w:rPr>
                <w:b/>
                <w:bCs/>
              </w:rPr>
              <w:t>Reference</w:t>
            </w:r>
          </w:p>
        </w:tc>
      </w:tr>
      <w:tr w:rsidR="00537A21" w:rsidRPr="00537A21" w:rsidTr="009219D7">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1</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pPr>
            <w:r w:rsidRPr="00537A21">
              <w:t>Utilstrækkelig kvalitet af dokumentationsmateriale modtaget til revision af årsregnskab 2013.</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4.3.5.</w:t>
            </w:r>
          </w:p>
        </w:tc>
      </w:tr>
      <w:tr w:rsidR="00537A21" w:rsidRPr="00537A21" w:rsidTr="009219D7">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3</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Manglende forretningsgangsbeskrivelser i tilknytning til opkrævning af brugerbetalinger</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5.4.2</w:t>
            </w:r>
          </w:p>
        </w:tc>
      </w:tr>
      <w:tr w:rsidR="00537A21" w:rsidRPr="00537A21" w:rsidTr="009219D7">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4</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Mangler i lønadministrationen</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5.4.3</w:t>
            </w:r>
          </w:p>
        </w:tc>
      </w:tr>
      <w:tr w:rsidR="00537A21" w:rsidRPr="00537A21" w:rsidTr="009219D7">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5</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Manglende registrantbogføring af skattepligtige og ikke-skattepligtige ydelser</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5.4.6 og 5.4.7</w:t>
            </w:r>
          </w:p>
        </w:tc>
      </w:tr>
      <w:tr w:rsidR="00537A21" w:rsidRPr="00537A21" w:rsidTr="009219D7">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lastRenderedPageBreak/>
              <w:t>8</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Bevillingsoverholdelse</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6.2</w:t>
            </w:r>
          </w:p>
        </w:tc>
      </w:tr>
      <w:tr w:rsidR="00537A21" w:rsidRPr="00537A21" w:rsidTr="009219D7">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9</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Manglende fagligt ledelsestilsyn</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6.4. samt bilag 3</w:t>
            </w:r>
          </w:p>
        </w:tc>
      </w:tr>
      <w:tr w:rsidR="00537A21" w:rsidRPr="00537A21" w:rsidTr="009219D7">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11</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Regnskab for Brættet</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6.7</w:t>
            </w:r>
          </w:p>
        </w:tc>
      </w:tr>
      <w:tr w:rsidR="00537A21" w:rsidRPr="00537A21" w:rsidTr="009219D7">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12</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Aflæggelse af anlægsregnskaber m.v.</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6.8.</w:t>
            </w:r>
          </w:p>
        </w:tc>
      </w:tr>
      <w:tr w:rsidR="00537A21" w:rsidRPr="00537A21" w:rsidTr="009219D7">
        <w:tc>
          <w:tcPr>
            <w:tcW w:w="91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13</w:t>
            </w:r>
          </w:p>
        </w:tc>
        <w:tc>
          <w:tcPr>
            <w:tcW w:w="6531" w:type="dxa"/>
            <w:tcBorders>
              <w:top w:val="nil"/>
              <w:left w:val="nil"/>
              <w:bottom w:val="single" w:sz="4"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pPr>
            <w:r w:rsidRPr="00537A21">
              <w:t>Økonomistyring</w:t>
            </w:r>
          </w:p>
        </w:tc>
        <w:tc>
          <w:tcPr>
            <w:tcW w:w="1406" w:type="dxa"/>
            <w:tcBorders>
              <w:top w:val="nil"/>
              <w:left w:val="nil"/>
              <w:bottom w:val="single" w:sz="4"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hAnsi="Calibri"/>
                <w:sz w:val="22"/>
              </w:rPr>
            </w:pPr>
            <w:r w:rsidRPr="00537A21">
              <w:t>7.1.2.7</w:t>
            </w:r>
          </w:p>
        </w:tc>
      </w:tr>
      <w:tr w:rsidR="00537A21" w:rsidRPr="00537A21" w:rsidTr="009219D7">
        <w:tc>
          <w:tcPr>
            <w:tcW w:w="9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14</w:t>
            </w:r>
          </w:p>
        </w:tc>
        <w:tc>
          <w:tcPr>
            <w:tcW w:w="6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 xml:space="preserve">Svagheder i forretningsgange i forbindelse med besvigelsesager og lignende </w:t>
            </w:r>
          </w:p>
        </w:tc>
        <w:tc>
          <w:tcPr>
            <w:tcW w:w="14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4.2</w:t>
            </w:r>
          </w:p>
        </w:tc>
      </w:tr>
      <w:tr w:rsidR="00537A21" w:rsidRPr="00537A21" w:rsidTr="009219D7">
        <w:tc>
          <w:tcPr>
            <w:tcW w:w="9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15</w:t>
            </w:r>
          </w:p>
        </w:tc>
        <w:tc>
          <w:tcPr>
            <w:tcW w:w="6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Svagheder og mangler i de generelle it-kontroller</w:t>
            </w:r>
          </w:p>
        </w:tc>
        <w:tc>
          <w:tcPr>
            <w:tcW w:w="14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4.3.4</w:t>
            </w:r>
          </w:p>
        </w:tc>
      </w:tr>
      <w:tr w:rsidR="00537A21" w:rsidRPr="00537A21" w:rsidTr="009219D7">
        <w:tc>
          <w:tcPr>
            <w:tcW w:w="9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16</w:t>
            </w:r>
          </w:p>
        </w:tc>
        <w:tc>
          <w:tcPr>
            <w:tcW w:w="65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 xml:space="preserve">Manglende </w:t>
            </w:r>
            <w:proofErr w:type="spellStart"/>
            <w:r w:rsidRPr="00537A21">
              <w:t>sagsdokumentation</w:t>
            </w:r>
            <w:proofErr w:type="spellEnd"/>
            <w:r w:rsidRPr="00537A21">
              <w:t xml:space="preserve"> i social sager</w:t>
            </w:r>
          </w:p>
        </w:tc>
        <w:tc>
          <w:tcPr>
            <w:tcW w:w="14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6.3</w:t>
            </w:r>
          </w:p>
        </w:tc>
      </w:tr>
    </w:tbl>
    <w:p w:rsidR="00537A21" w:rsidRPr="00537A21" w:rsidRDefault="00537A21" w:rsidP="00537A21">
      <w:pPr>
        <w:autoSpaceDE w:val="0"/>
        <w:autoSpaceDN w:val="0"/>
        <w:adjustRightInd w:val="0"/>
        <w:rPr>
          <w:rFonts w:ascii="Arial" w:hAnsi="Arial" w:cs="Arial"/>
          <w:color w:val="000000"/>
          <w:sz w:val="22"/>
          <w:szCs w:val="22"/>
        </w:rPr>
      </w:pP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Nedenstående oversigt viser de punkter som revisionen har lukket i forbindelse med 2014 regnskabet</w:t>
      </w:r>
    </w:p>
    <w:tbl>
      <w:tblPr>
        <w:tblW w:w="0" w:type="auto"/>
        <w:tblCellMar>
          <w:left w:w="0" w:type="dxa"/>
          <w:right w:w="0" w:type="dxa"/>
        </w:tblCellMar>
        <w:tblLook w:val="04A0" w:firstRow="1" w:lastRow="0" w:firstColumn="1" w:lastColumn="0" w:noHBand="0" w:noVBand="1"/>
      </w:tblPr>
      <w:tblGrid>
        <w:gridCol w:w="959"/>
        <w:gridCol w:w="6885"/>
        <w:gridCol w:w="1442"/>
      </w:tblGrid>
      <w:tr w:rsidR="00537A21" w:rsidRPr="00537A21" w:rsidTr="009219D7">
        <w:tc>
          <w:tcPr>
            <w:tcW w:w="9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pPr>
            <w:r w:rsidRPr="00537A21">
              <w:t>Nr.</w:t>
            </w:r>
          </w:p>
        </w:tc>
        <w:tc>
          <w:tcPr>
            <w:tcW w:w="68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pPr>
            <w:r w:rsidRPr="00537A21">
              <w:t>Revisionsbemærkning</w:t>
            </w:r>
          </w:p>
        </w:tc>
        <w:tc>
          <w:tcPr>
            <w:tcW w:w="14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pPr>
            <w:r w:rsidRPr="00537A21">
              <w:t>Reference</w:t>
            </w:r>
          </w:p>
        </w:tc>
      </w:tr>
      <w:tr w:rsidR="00537A21" w:rsidRPr="00537A21" w:rsidTr="009219D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2</w:t>
            </w:r>
          </w:p>
        </w:tc>
        <w:tc>
          <w:tcPr>
            <w:tcW w:w="6885" w:type="dxa"/>
            <w:tcBorders>
              <w:top w:val="nil"/>
              <w:left w:val="nil"/>
              <w:bottom w:val="single" w:sz="8"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Manglende oversigter til årsregnskab 2013</w:t>
            </w:r>
          </w:p>
        </w:tc>
        <w:tc>
          <w:tcPr>
            <w:tcW w:w="1442" w:type="dxa"/>
            <w:tcBorders>
              <w:top w:val="nil"/>
              <w:left w:val="nil"/>
              <w:bottom w:val="single" w:sz="8" w:space="0" w:color="auto"/>
              <w:right w:val="single" w:sz="8" w:space="0" w:color="auto"/>
            </w:tcBorders>
            <w:tcMar>
              <w:top w:w="0" w:type="dxa"/>
              <w:left w:w="108" w:type="dxa"/>
              <w:bottom w:w="0" w:type="dxa"/>
              <w:right w:w="108" w:type="dxa"/>
            </w:tcMar>
          </w:tcPr>
          <w:p w:rsidR="00537A21" w:rsidRPr="00537A21" w:rsidRDefault="00537A21" w:rsidP="00537A21">
            <w:pPr>
              <w:spacing w:line="340" w:lineRule="atLeast"/>
              <w:jc w:val="both"/>
            </w:pPr>
            <w:r w:rsidRPr="00537A21">
              <w:t>5.1.1</w:t>
            </w:r>
          </w:p>
        </w:tc>
      </w:tr>
      <w:tr w:rsidR="00537A21" w:rsidRPr="00537A21" w:rsidTr="009219D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eastAsia="Calibri" w:hAnsi="Calibri"/>
                <w:sz w:val="22"/>
                <w:szCs w:val="22"/>
                <w:lang w:eastAsia="en-US"/>
              </w:rPr>
            </w:pPr>
            <w:r w:rsidRPr="00537A21">
              <w:t>6</w:t>
            </w:r>
          </w:p>
        </w:tc>
        <w:tc>
          <w:tcPr>
            <w:tcW w:w="6885"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eastAsia="Calibri" w:hAnsi="Calibri"/>
                <w:sz w:val="22"/>
                <w:szCs w:val="22"/>
                <w:lang w:eastAsia="en-US"/>
              </w:rPr>
            </w:pPr>
            <w:r w:rsidRPr="00537A21">
              <w:t>Manglende overholdelse af den autoriserede kontoplan</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eastAsia="Calibri" w:hAnsi="Calibri"/>
                <w:sz w:val="22"/>
                <w:szCs w:val="22"/>
                <w:lang w:eastAsia="en-US"/>
              </w:rPr>
            </w:pPr>
            <w:r w:rsidRPr="00537A21">
              <w:t>5.5.4, 5.5.6, 5.5.9 og 6.3.</w:t>
            </w:r>
          </w:p>
        </w:tc>
      </w:tr>
      <w:tr w:rsidR="00537A21" w:rsidRPr="00537A21" w:rsidTr="009219D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eastAsia="Calibri" w:hAnsi="Calibri"/>
                <w:sz w:val="22"/>
                <w:szCs w:val="22"/>
                <w:lang w:eastAsia="en-US"/>
              </w:rPr>
            </w:pPr>
            <w:r w:rsidRPr="00537A21">
              <w:t>7</w:t>
            </w:r>
          </w:p>
        </w:tc>
        <w:tc>
          <w:tcPr>
            <w:tcW w:w="6885"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eastAsia="Calibri" w:hAnsi="Calibri"/>
                <w:sz w:val="22"/>
                <w:szCs w:val="22"/>
                <w:lang w:eastAsia="en-US"/>
              </w:rPr>
            </w:pPr>
            <w:r w:rsidRPr="00537A21">
              <w:t>Overholdelse af budgetregler</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rPr>
                <w:rFonts w:ascii="Calibri" w:eastAsia="Calibri" w:hAnsi="Calibri"/>
                <w:sz w:val="22"/>
                <w:szCs w:val="22"/>
                <w:lang w:eastAsia="en-US"/>
              </w:rPr>
            </w:pPr>
            <w:r w:rsidRPr="00537A21">
              <w:t>6.1</w:t>
            </w:r>
          </w:p>
        </w:tc>
      </w:tr>
      <w:tr w:rsidR="00537A21" w:rsidRPr="00537A21" w:rsidTr="009219D7">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pPr>
            <w:r w:rsidRPr="00537A21">
              <w:t>10</w:t>
            </w:r>
          </w:p>
        </w:tc>
        <w:tc>
          <w:tcPr>
            <w:tcW w:w="6885"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pPr>
            <w:r w:rsidRPr="00537A21">
              <w:t>Overholdelse af regnskabsregler</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rsidR="00537A21" w:rsidRPr="00537A21" w:rsidRDefault="00537A21" w:rsidP="00537A21">
            <w:pPr>
              <w:spacing w:line="340" w:lineRule="atLeast"/>
              <w:jc w:val="both"/>
            </w:pPr>
            <w:r w:rsidRPr="00537A21">
              <w:t>6.5</w:t>
            </w:r>
          </w:p>
        </w:tc>
      </w:tr>
    </w:tbl>
    <w:p w:rsidR="00537A21" w:rsidRPr="00537A21" w:rsidRDefault="00537A21" w:rsidP="00537A21">
      <w:pPr>
        <w:autoSpaceDE w:val="0"/>
        <w:autoSpaceDN w:val="0"/>
        <w:adjustRightInd w:val="0"/>
        <w:rPr>
          <w:rFonts w:ascii="Arial" w:hAnsi="Arial" w:cs="Arial"/>
          <w:color w:val="000000"/>
          <w:sz w:val="22"/>
          <w:szCs w:val="22"/>
        </w:rPr>
      </w:pPr>
    </w:p>
    <w:p w:rsidR="00537A21" w:rsidRPr="00537A21" w:rsidRDefault="00537A21" w:rsidP="00537A21">
      <w:pPr>
        <w:autoSpaceDE w:val="0"/>
        <w:autoSpaceDN w:val="0"/>
        <w:adjustRightInd w:val="0"/>
        <w:rPr>
          <w:rFonts w:ascii="Arial" w:hAnsi="Arial" w:cs="Arial"/>
          <w:color w:val="000000"/>
          <w:sz w:val="22"/>
          <w:szCs w:val="22"/>
        </w:rPr>
      </w:pPr>
      <w:r w:rsidRPr="00537A21">
        <w:rPr>
          <w:rFonts w:ascii="Arial" w:hAnsi="Arial" w:cs="Arial"/>
          <w:color w:val="000000"/>
          <w:sz w:val="22"/>
          <w:szCs w:val="22"/>
        </w:rPr>
        <w:t>Administrationens bemærkninger er at finde i svarnotatet.</w:t>
      </w:r>
    </w:p>
    <w:p w:rsidR="00537A21" w:rsidRPr="00537A21" w:rsidRDefault="00537A21" w:rsidP="00537A21">
      <w:pPr>
        <w:autoSpaceDE w:val="0"/>
        <w:autoSpaceDN w:val="0"/>
        <w:adjustRightInd w:val="0"/>
        <w:rPr>
          <w:rFonts w:ascii="Arial" w:hAnsi="Arial" w:cs="Arial"/>
          <w:color w:val="000000"/>
          <w:sz w:val="22"/>
          <w:szCs w:val="22"/>
        </w:rPr>
      </w:pP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i/>
          <w:iCs/>
          <w:sz w:val="22"/>
          <w:szCs w:val="22"/>
        </w:rPr>
        <w:t xml:space="preserve">Løsningsforslag – faglig vurdering </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 xml:space="preserve">Ingen yderligere bemærkninger. </w:t>
      </w:r>
    </w:p>
    <w:p w:rsidR="00537A21" w:rsidRPr="00537A21" w:rsidRDefault="00537A21" w:rsidP="00537A21">
      <w:pPr>
        <w:autoSpaceDE w:val="0"/>
        <w:autoSpaceDN w:val="0"/>
        <w:adjustRightInd w:val="0"/>
        <w:rPr>
          <w:rFonts w:ascii="Arial" w:hAnsi="Arial" w:cs="Arial"/>
          <w:sz w:val="22"/>
          <w:szCs w:val="22"/>
        </w:rPr>
      </w:pP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i/>
          <w:iCs/>
          <w:sz w:val="22"/>
          <w:szCs w:val="22"/>
        </w:rPr>
        <w:t xml:space="preserve">Lovgrundlag og rammesættende dokumenter </w:t>
      </w:r>
    </w:p>
    <w:p w:rsidR="00537A21" w:rsidRPr="00537A21" w:rsidRDefault="00537A21" w:rsidP="00537A21">
      <w:pPr>
        <w:autoSpaceDE w:val="0"/>
        <w:autoSpaceDN w:val="0"/>
        <w:adjustRightInd w:val="0"/>
        <w:spacing w:after="6"/>
        <w:rPr>
          <w:rFonts w:ascii="Arial" w:hAnsi="Arial" w:cs="Arial"/>
          <w:sz w:val="22"/>
          <w:szCs w:val="22"/>
        </w:rPr>
      </w:pPr>
      <w:r w:rsidRPr="00537A21">
        <w:rPr>
          <w:rFonts w:ascii="Calibri" w:hAnsi="Calibri" w:cs="Calibri"/>
          <w:sz w:val="22"/>
          <w:szCs w:val="22"/>
        </w:rPr>
        <w:t xml:space="preserve">- </w:t>
      </w:r>
      <w:proofErr w:type="spellStart"/>
      <w:r w:rsidRPr="00537A21">
        <w:rPr>
          <w:rFonts w:ascii="Arial" w:hAnsi="Arial" w:cs="Arial"/>
          <w:sz w:val="22"/>
          <w:szCs w:val="22"/>
        </w:rPr>
        <w:t>Inatsisartutlov</w:t>
      </w:r>
      <w:proofErr w:type="spellEnd"/>
      <w:r w:rsidRPr="00537A21">
        <w:rPr>
          <w:rFonts w:ascii="Arial" w:hAnsi="Arial" w:cs="Arial"/>
          <w:sz w:val="22"/>
          <w:szCs w:val="22"/>
        </w:rPr>
        <w:t xml:space="preserve"> nr. 22 af 18. november 2010 om den kommunale styrelse </w:t>
      </w:r>
    </w:p>
    <w:p w:rsidR="00537A21" w:rsidRPr="00537A21" w:rsidRDefault="00537A21" w:rsidP="00537A21">
      <w:pPr>
        <w:autoSpaceDE w:val="0"/>
        <w:autoSpaceDN w:val="0"/>
        <w:adjustRightInd w:val="0"/>
        <w:spacing w:after="6"/>
        <w:rPr>
          <w:rFonts w:ascii="Arial" w:hAnsi="Arial" w:cs="Arial"/>
          <w:sz w:val="22"/>
          <w:szCs w:val="22"/>
        </w:rPr>
      </w:pPr>
      <w:r w:rsidRPr="00537A21">
        <w:rPr>
          <w:rFonts w:ascii="Calibri" w:hAnsi="Calibri" w:cs="Calibri"/>
          <w:sz w:val="22"/>
          <w:szCs w:val="22"/>
        </w:rPr>
        <w:t xml:space="preserve">- </w:t>
      </w:r>
      <w:r w:rsidRPr="00537A21">
        <w:rPr>
          <w:rFonts w:ascii="Arial" w:hAnsi="Arial" w:cs="Arial"/>
          <w:sz w:val="22"/>
          <w:szCs w:val="22"/>
        </w:rPr>
        <w:t xml:space="preserve">Bekendtgørelse nr. 3 af 3.februar 2012 om kommunernes budgetlægning, regnskab og revision m.v. </w:t>
      </w:r>
    </w:p>
    <w:p w:rsidR="00537A21" w:rsidRPr="00537A21" w:rsidRDefault="00537A21" w:rsidP="00537A21">
      <w:pPr>
        <w:autoSpaceDE w:val="0"/>
        <w:autoSpaceDN w:val="0"/>
        <w:adjustRightInd w:val="0"/>
        <w:rPr>
          <w:rFonts w:ascii="Arial" w:hAnsi="Arial" w:cs="Arial"/>
          <w:sz w:val="22"/>
          <w:szCs w:val="22"/>
        </w:rPr>
      </w:pPr>
      <w:r w:rsidRPr="00537A21">
        <w:rPr>
          <w:rFonts w:ascii="Calibri" w:hAnsi="Calibri" w:cs="Calibri"/>
          <w:sz w:val="22"/>
          <w:szCs w:val="22"/>
        </w:rPr>
        <w:t xml:space="preserve">- </w:t>
      </w:r>
      <w:r w:rsidRPr="00537A21">
        <w:rPr>
          <w:rFonts w:ascii="Arial" w:hAnsi="Arial" w:cs="Arial"/>
          <w:sz w:val="22"/>
          <w:szCs w:val="22"/>
        </w:rPr>
        <w:t xml:space="preserve">Bekendtgørelse nr. 14 af 23. august 1999 om revision af Hjemmestyreområderne i kommunerne m.v. </w:t>
      </w:r>
    </w:p>
    <w:p w:rsidR="00537A21" w:rsidRPr="00537A21" w:rsidRDefault="00537A21" w:rsidP="00537A21">
      <w:pPr>
        <w:autoSpaceDE w:val="0"/>
        <w:autoSpaceDN w:val="0"/>
        <w:adjustRightInd w:val="0"/>
        <w:rPr>
          <w:rFonts w:ascii="Arial" w:hAnsi="Arial" w:cs="Arial"/>
          <w:sz w:val="22"/>
          <w:szCs w:val="22"/>
        </w:rPr>
      </w:pPr>
    </w:p>
    <w:p w:rsidR="00537A21" w:rsidRPr="00537A21" w:rsidRDefault="00537A21" w:rsidP="00537A21">
      <w:pPr>
        <w:autoSpaceDE w:val="0"/>
        <w:autoSpaceDN w:val="0"/>
        <w:adjustRightInd w:val="0"/>
        <w:rPr>
          <w:rFonts w:ascii="Arial" w:hAnsi="Arial" w:cs="Arial"/>
          <w:b/>
          <w:sz w:val="22"/>
          <w:szCs w:val="22"/>
        </w:rPr>
      </w:pPr>
      <w:r w:rsidRPr="00537A21">
        <w:rPr>
          <w:rFonts w:ascii="Arial" w:hAnsi="Arial" w:cs="Arial"/>
          <w:b/>
          <w:i/>
          <w:iCs/>
          <w:sz w:val="22"/>
          <w:szCs w:val="22"/>
        </w:rPr>
        <w:t xml:space="preserve">Det videre forløb </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 xml:space="preserve">Efter Kommunalbestyrelsens godkendelse fremsendes årsregnskabet, revisionsberetningen samt svarnotatet til Grønlands Selvstyre, Departementet for Finanser og Indenrigsanliggender, og revisionen. Ligesom det endelige regnskab inkl. revisionsberetningen og svarnotat vil blive offentliggjort på kommunens hjemmeside. </w:t>
      </w:r>
    </w:p>
    <w:p w:rsidR="00537A21" w:rsidRPr="00537A21" w:rsidRDefault="00537A21" w:rsidP="00537A21">
      <w:pPr>
        <w:autoSpaceDE w:val="0"/>
        <w:autoSpaceDN w:val="0"/>
        <w:adjustRightInd w:val="0"/>
        <w:rPr>
          <w:rFonts w:ascii="Arial" w:hAnsi="Arial" w:cs="Arial"/>
          <w:b/>
          <w:bCs/>
          <w:sz w:val="22"/>
          <w:szCs w:val="22"/>
        </w:rPr>
      </w:pP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b/>
          <w:bCs/>
          <w:sz w:val="22"/>
          <w:szCs w:val="22"/>
        </w:rPr>
        <w:t xml:space="preserve">Bemærkninger fra Økonomisk Sekretariat </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 xml:space="preserve">Genopretningsplanen, budgetregulativ samt håndbog i forvaltning og økonomistyring, som blev godkendt og iværksat i 2014 har givet kommunen et godt fundament for - hen over de næste år - at få etableret en moderne og effektiv økonomistyring og ikke mindst sikre en overholdelse af love og regler i forhold til budgetter, regnskaber og myndighedsudøvelsen. Genopretningsplanen, budgetregulativ samt håndbog i forvaltning og økonomistyring har haft en vis effekt, men det må konstateres, at der endnu er et stykke vej til de er fuldt implementeret og den ønskede effekt opnået. </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lastRenderedPageBreak/>
        <w:t xml:space="preserve">Der skal ligeledes nævnes at mange af de andre tiltag i 2014 har haft en vis effekt, men stadigvæk ikke helt i mål og derfor vil der også de næste par år være et behov for at arbejde videre med at sikre kommunens overholdelses af regler, dokumentation, bevillinger mv. </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 xml:space="preserve">Indførelsen af 10.000 kr. reglen har vidst sig at have en god effekt i 2014. </w:t>
      </w:r>
    </w:p>
    <w:p w:rsidR="00537A21" w:rsidRPr="00537A21" w:rsidRDefault="00537A21" w:rsidP="00537A21">
      <w:pPr>
        <w:autoSpaceDE w:val="0"/>
        <w:autoSpaceDN w:val="0"/>
        <w:adjustRightInd w:val="0"/>
        <w:rPr>
          <w:rFonts w:ascii="Arial" w:hAnsi="Arial" w:cs="Arial"/>
          <w:sz w:val="22"/>
          <w:szCs w:val="22"/>
        </w:rPr>
      </w:pP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Det igangværende arbejde med indførelses af kommunens nye strategi forventes også at have en positiv effekt på arbejdet med at få kommunen i den rigtige retning.</w:t>
      </w:r>
    </w:p>
    <w:p w:rsidR="00537A21" w:rsidRPr="00537A21" w:rsidRDefault="00537A21" w:rsidP="00537A21">
      <w:pPr>
        <w:autoSpaceDE w:val="0"/>
        <w:autoSpaceDN w:val="0"/>
        <w:adjustRightInd w:val="0"/>
        <w:rPr>
          <w:rFonts w:ascii="Arial" w:hAnsi="Arial" w:cs="Arial"/>
          <w:b/>
          <w:bCs/>
          <w:sz w:val="22"/>
          <w:szCs w:val="22"/>
        </w:rPr>
      </w:pPr>
      <w:r w:rsidRPr="00537A21">
        <w:rPr>
          <w:rFonts w:ascii="Arial" w:hAnsi="Arial" w:cs="Arial"/>
          <w:sz w:val="22"/>
          <w:szCs w:val="22"/>
        </w:rPr>
        <w:t xml:space="preserve"> </w:t>
      </w:r>
    </w:p>
    <w:p w:rsidR="00537A21" w:rsidRPr="00537A21" w:rsidRDefault="00537A21" w:rsidP="00537A21">
      <w:pPr>
        <w:autoSpaceDE w:val="0"/>
        <w:autoSpaceDN w:val="0"/>
        <w:adjustRightInd w:val="0"/>
        <w:rPr>
          <w:rFonts w:ascii="Arial" w:hAnsi="Arial" w:cs="Arial"/>
          <w:b/>
          <w:bCs/>
          <w:sz w:val="22"/>
          <w:szCs w:val="22"/>
        </w:rPr>
      </w:pPr>
      <w:r w:rsidRPr="00537A21">
        <w:rPr>
          <w:rFonts w:ascii="Arial" w:hAnsi="Arial" w:cs="Arial"/>
          <w:b/>
          <w:bCs/>
          <w:sz w:val="22"/>
          <w:szCs w:val="22"/>
        </w:rPr>
        <w:t xml:space="preserve">Tidligere beslutning </w:t>
      </w:r>
    </w:p>
    <w:p w:rsidR="00537A21" w:rsidRPr="00537A21" w:rsidRDefault="00537A21" w:rsidP="00537A21">
      <w:pPr>
        <w:rPr>
          <w:rFonts w:ascii="Arial" w:hAnsi="Arial" w:cs="Arial"/>
          <w:i/>
          <w:sz w:val="22"/>
          <w:szCs w:val="22"/>
        </w:rPr>
      </w:pPr>
      <w:r w:rsidRPr="00537A21">
        <w:rPr>
          <w:rFonts w:ascii="Arial" w:hAnsi="Arial" w:cs="Arial"/>
          <w:i/>
          <w:sz w:val="22"/>
          <w:szCs w:val="22"/>
        </w:rPr>
        <w:t>Økonomiudvalgets beslutning den 11. juni 2015:</w:t>
      </w:r>
    </w:p>
    <w:p w:rsidR="00537A21" w:rsidRPr="00537A21" w:rsidRDefault="00537A21" w:rsidP="00537A21">
      <w:pPr>
        <w:rPr>
          <w:rFonts w:ascii="Arial" w:hAnsi="Arial" w:cs="Arial"/>
          <w:sz w:val="22"/>
          <w:szCs w:val="22"/>
        </w:rPr>
      </w:pPr>
      <w:r w:rsidRPr="00537A21">
        <w:rPr>
          <w:rFonts w:ascii="Arial" w:hAnsi="Arial" w:cs="Arial"/>
          <w:sz w:val="22"/>
          <w:szCs w:val="22"/>
        </w:rPr>
        <w:t>Økonomiudvalget godkender indstillingerne.</w:t>
      </w:r>
    </w:p>
    <w:p w:rsidR="00537A21" w:rsidRPr="00537A21" w:rsidRDefault="00537A21" w:rsidP="00537A21">
      <w:pPr>
        <w:autoSpaceDE w:val="0"/>
        <w:autoSpaceDN w:val="0"/>
        <w:adjustRightInd w:val="0"/>
        <w:rPr>
          <w:rFonts w:ascii="Arial" w:hAnsi="Arial" w:cs="Arial"/>
          <w:sz w:val="22"/>
          <w:szCs w:val="22"/>
        </w:rPr>
      </w:pP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i/>
          <w:iCs/>
          <w:sz w:val="22"/>
          <w:szCs w:val="22"/>
        </w:rPr>
        <w:t>Kommunalbestyrelsen oversendte regnskabet for 2014 til revision den 28. april 2015.</w:t>
      </w:r>
    </w:p>
    <w:p w:rsidR="00537A21" w:rsidRPr="00537A21" w:rsidRDefault="00537A21" w:rsidP="00537A21">
      <w:pPr>
        <w:autoSpaceDE w:val="0"/>
        <w:autoSpaceDN w:val="0"/>
        <w:adjustRightInd w:val="0"/>
        <w:rPr>
          <w:rFonts w:ascii="Arial" w:hAnsi="Arial" w:cs="Arial"/>
          <w:b/>
          <w:bCs/>
          <w:sz w:val="22"/>
          <w:szCs w:val="22"/>
        </w:rPr>
      </w:pP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b/>
          <w:bCs/>
          <w:sz w:val="22"/>
          <w:szCs w:val="22"/>
        </w:rPr>
        <w:t xml:space="preserve">Bilag </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1. Revisionsberetning for 2014 vedrørende årsrapporten</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2. Revisionsberetning for 2014 vedrørende områder omfattet af selvstyrebalancen</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3. Forvaltningens svarnotat til revisionsberetningen</w:t>
      </w:r>
    </w:p>
    <w:p w:rsidR="00537A21" w:rsidRPr="00537A21" w:rsidRDefault="00537A21" w:rsidP="00537A21">
      <w:pPr>
        <w:autoSpaceDE w:val="0"/>
        <w:autoSpaceDN w:val="0"/>
        <w:adjustRightInd w:val="0"/>
        <w:rPr>
          <w:rFonts w:ascii="Arial" w:hAnsi="Arial" w:cs="Arial"/>
          <w:sz w:val="22"/>
          <w:szCs w:val="22"/>
        </w:rPr>
      </w:pPr>
      <w:r w:rsidRPr="00537A21">
        <w:rPr>
          <w:rFonts w:ascii="Arial" w:hAnsi="Arial" w:cs="Arial"/>
          <w:sz w:val="22"/>
          <w:szCs w:val="22"/>
        </w:rPr>
        <w:t>4. Årsberetning</w:t>
      </w:r>
      <w:bookmarkStart w:id="3" w:name="_GoBack"/>
      <w:bookmarkEnd w:id="3"/>
    </w:p>
    <w:sectPr w:rsidR="00537A21" w:rsidRPr="00537A21" w:rsidSect="00FF72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27466"/>
    <w:multiLevelType w:val="hybridMultilevel"/>
    <w:tmpl w:val="8C94B0E2"/>
    <w:lvl w:ilvl="0" w:tplc="5BA6618C">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21"/>
    <w:rsid w:val="00072F11"/>
    <w:rsid w:val="00537A21"/>
    <w:rsid w:val="007454F0"/>
    <w:rsid w:val="008344CF"/>
    <w:rsid w:val="00C40AE4"/>
    <w:rsid w:val="00EC4C26"/>
    <w:rsid w:val="00FF72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4F0"/>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4F0"/>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C21FFDDC</Template>
  <TotalTime>1</TotalTime>
  <Pages>1</Pages>
  <Words>694</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Kommuneqarfik Sermersooq</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Hauge Pedersen</dc:creator>
  <cp:lastModifiedBy>Lars Møller-Sørensen</cp:lastModifiedBy>
  <cp:revision>3</cp:revision>
  <dcterms:created xsi:type="dcterms:W3CDTF">2015-06-24T18:20:00Z</dcterms:created>
  <dcterms:modified xsi:type="dcterms:W3CDTF">2015-06-24T18:20:00Z</dcterms:modified>
</cp:coreProperties>
</file>